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sz w:val="36"/>
          <w:szCs w:val="36"/>
        </w:rPr>
      </w:pPr>
      <w:r>
        <w:rPr>
          <w:rFonts w:hint="eastAsia" w:ascii="隶书" w:hAnsi="宋体" w:eastAsia="隶书"/>
          <w:bCs/>
          <w:sz w:val="36"/>
          <w:szCs w:val="36"/>
        </w:rPr>
        <w:t>管理体系审核记录表</w:t>
      </w:r>
    </w:p>
    <w:tbl>
      <w:tblPr>
        <w:tblStyle w:val="9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960"/>
        <w:gridCol w:w="10004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160" w:type="dxa"/>
            <w:vMerge w:val="restart"/>
            <w:vAlign w:val="center"/>
          </w:tcPr>
          <w:p>
            <w:pPr>
              <w:spacing w:before="120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过程与活动、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涉及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条款</w:t>
            </w:r>
          </w:p>
        </w:tc>
        <w:tc>
          <w:tcPr>
            <w:tcW w:w="10004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受审核部门：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市场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部       主管领导：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王建均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陪同人员：王云倩</w:t>
            </w:r>
          </w:p>
        </w:tc>
        <w:tc>
          <w:tcPr>
            <w:tcW w:w="1585" w:type="dxa"/>
            <w:vMerge w:val="restart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60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04" w:type="dxa"/>
            <w:vAlign w:val="center"/>
          </w:tcPr>
          <w:p>
            <w:pPr>
              <w:spacing w:before="120"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审核员：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姜海军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审核时间：20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05</w:t>
            </w:r>
            <w:bookmarkStart w:id="0" w:name="_GoBack"/>
            <w:bookmarkEnd w:id="0"/>
          </w:p>
        </w:tc>
        <w:tc>
          <w:tcPr>
            <w:tcW w:w="1585" w:type="dxa"/>
            <w:vMerge w:val="continue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04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核条款：QMS:5.3组织的岗位、职责和权限、6.2质量目标、8.2产品和服务的要求（8.2.1顾客沟通、8.2.2与产品和服务有关要求的确认、8.2.3与产品有关要求评审、8.2.4与产品有关要求的更改）8.4外部提供过程、产品和服务的控制（8.4.1总则、8.4.2控制类型和程度、8.4.3提供给外部供方的信息）、9.1.2顾客满意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OHSAS：4.3.1危险源识别、评价和控制措施的确定；4.3.3目标与方案、4.4.3沟通、参与和协商；4.4.6运行控制</w:t>
            </w:r>
          </w:p>
        </w:tc>
        <w:tc>
          <w:tcPr>
            <w:tcW w:w="1585" w:type="dxa"/>
            <w:vMerge w:val="continue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组织的角色、职责和权限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0" w:type="dxa"/>
            <w:vAlign w:val="top"/>
          </w:tcPr>
          <w:p>
            <w:pPr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Q5.3</w:t>
            </w:r>
          </w:p>
        </w:tc>
        <w:tc>
          <w:tcPr>
            <w:tcW w:w="10004" w:type="dxa"/>
            <w:vAlign w:val="top"/>
          </w:tcPr>
          <w:p>
            <w:pPr>
              <w:spacing w:line="400" w:lineRule="exact"/>
              <w:jc w:val="both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查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市场部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主要工作职责：</w:t>
            </w:r>
          </w:p>
          <w:p>
            <w:pPr>
              <w:spacing w:line="440" w:lineRule="exact"/>
              <w:jc w:val="both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>a) 负责公司招投标，合同的评审，负责与顾客的沟通和联络。</w:t>
            </w:r>
          </w:p>
          <w:p>
            <w:pPr>
              <w:spacing w:line="440" w:lineRule="exact"/>
              <w:jc w:val="both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>b) 负责定额管理，组织定额分析和成本分析，对经营工作进行监督检查。</w:t>
            </w:r>
          </w:p>
          <w:p>
            <w:pPr>
              <w:spacing w:line="440" w:lineRule="exact"/>
              <w:jc w:val="both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>c）做好顾客反馈信息的记录,组织对顾客满意度的调查。</w:t>
            </w:r>
          </w:p>
          <w:p>
            <w:pPr>
              <w:spacing w:line="420" w:lineRule="exact"/>
              <w:ind w:firstLine="504" w:firstLineChars="200"/>
              <w:jc w:val="both"/>
              <w:rPr>
                <w:rFonts w:hint="eastAsia" w:ascii="宋体" w:hAnsi="宋体" w:cs="宋体"/>
                <w:spacing w:val="21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21"/>
                <w:sz w:val="21"/>
                <w:szCs w:val="21"/>
              </w:rPr>
              <w:t>………..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部门岗位基本符合要求。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top"/>
          </w:tcPr>
          <w:p>
            <w:pPr>
              <w:rPr>
                <w:rFonts w:hint="eastAsia" w:ascii="宋体" w:hAnsi="宋体" w:cs="新宋体"/>
                <w:sz w:val="21"/>
                <w:szCs w:val="21"/>
              </w:rPr>
            </w:pPr>
            <w:r>
              <w:rPr>
                <w:rFonts w:hint="eastAsia" w:ascii="宋体" w:hAnsi="宋体" w:cs="新宋体"/>
                <w:sz w:val="21"/>
                <w:szCs w:val="21"/>
              </w:rPr>
              <w:t>资源、角色、职责、责任与权限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新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0" w:type="dxa"/>
            <w:vAlign w:val="top"/>
          </w:tcPr>
          <w:p>
            <w:pPr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S4.4.1</w:t>
            </w:r>
          </w:p>
          <w:p>
            <w:pPr>
              <w:rPr>
                <w:rFonts w:hint="eastAsia" w:ascii="宋体" w:hAnsi="宋体" w:eastAsia="宋体" w:cs="新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04" w:type="dxa"/>
            <w:vAlign w:val="top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查，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市场部</w:t>
            </w:r>
            <w:r>
              <w:rPr>
                <w:rFonts w:hint="eastAsia" w:ascii="宋体" w:hAnsi="宋体"/>
                <w:sz w:val="21"/>
                <w:szCs w:val="21"/>
              </w:rPr>
              <w:t>的岗位职责和权限如下：</w:t>
            </w:r>
          </w:p>
          <w:p>
            <w:pPr>
              <w:spacing w:line="40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1）负责顾客要求的识别，和合同的评审，负责与顾客的沟通和联络；  </w:t>
            </w:r>
          </w:p>
          <w:p>
            <w:pPr>
              <w:spacing w:line="40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2）负责本部门环境因素、危险源的识别评价和控制措施的实施；</w:t>
            </w:r>
          </w:p>
          <w:p>
            <w:pPr>
              <w:spacing w:line="40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3）参与公司组织的应急演习、合规性评价.</w:t>
            </w:r>
          </w:p>
          <w:p>
            <w:pPr>
              <w:spacing w:line="40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……   </w:t>
            </w:r>
          </w:p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市场部</w:t>
            </w:r>
            <w:r>
              <w:rPr>
                <w:rFonts w:hint="eastAsia" w:ascii="宋体" w:hAnsi="宋体"/>
                <w:sz w:val="21"/>
                <w:szCs w:val="21"/>
              </w:rPr>
              <w:t>负责人对部门职责清楚。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目标及其实现的策划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（含6.2.1/6.2.2）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Q6.2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4.3.3</w:t>
            </w:r>
          </w:p>
        </w:tc>
        <w:tc>
          <w:tcPr>
            <w:tcW w:w="10004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市场部</w:t>
            </w:r>
            <w:r>
              <w:rPr>
                <w:rFonts w:hint="eastAsia" w:ascii="宋体" w:hAnsi="宋体" w:cs="宋体"/>
                <w:sz w:val="21"/>
                <w:szCs w:val="21"/>
              </w:rPr>
              <w:t>负责人：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王建均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查《部门目标测量报告》 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测量时间：2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0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30日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1、合同履约率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合同评审率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100％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实测：100%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2、顾客满意度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95%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；  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>实测：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97%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3、供方选择评价率100%；      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实测：100%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 w:bidi="ar"/>
              </w:rPr>
              <w:t xml:space="preserve">4、触电、火灾发生为0         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实测：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0</w:t>
            </w:r>
          </w:p>
          <w:p>
            <w:pPr>
              <w:spacing w:line="360" w:lineRule="auto"/>
              <w:ind w:firstLine="404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sz w:val="21"/>
                <w:szCs w:val="21"/>
              </w:rPr>
              <w:t>目标覆盖相关职能、层次和过程，目标与方针保持一致，基本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符合要求。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</w:rPr>
              <w:t>顾客沟通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Q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8.2.1</w:t>
            </w:r>
          </w:p>
        </w:tc>
        <w:tc>
          <w:tcPr>
            <w:tcW w:w="10004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组织按质量手册制定并实施顾客沟通的要求，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市场部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采用上门拜访、报告、电话、网络等方式与顾客进行沟通。了解客户要求的产品的相关信息；问询、合同或订单的处理，包括对其修改；顾客反馈，包括顾客抱怨；当有重大异常时，制定有关的应急措施及客户特定的要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与产品和服务有关要求的确定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Q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8.2.2</w:t>
            </w:r>
          </w:p>
        </w:tc>
        <w:tc>
          <w:tcPr>
            <w:tcW w:w="10004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组织编制的质量手册及《顾客满意度控制程序》规定，对市场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进行调研，定向顾客提供的产品和服务的要求，从以下几个方面来确定与服务有关的要求：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（1）顾客对产品规定的要求,包括产品内容、技术、进度和费用要求及后期服务要求；      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（2）与产品有关的法律、法规要求；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（3）公司确定的其他附加要求；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顾客有合作意向时，介绍公司产品，了解顾客对产品的要求，并结合标准要求进行确定，且明示在合同或订单上，确定顾客对产品的具体要求。</w:t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抽查情况如下：</w:t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抽产品供货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订单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：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highlight w:val="none"/>
              </w:rPr>
              <w:t>顾客：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</w:rPr>
              <w:t>南通通达</w:t>
            </w:r>
            <w:r>
              <w:rPr>
                <w:rFonts w:hint="eastAsia" w:ascii="宋体" w:hAnsi="宋体"/>
                <w:color w:val="000000" w:themeColor="text1"/>
                <w:szCs w:val="24"/>
                <w:highlight w:val="none"/>
              </w:rPr>
              <w:t>矽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</w:rPr>
              <w:t>钢冲压科技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1"/>
                <w:szCs w:val="21"/>
                <w:highlight w:val="none"/>
                <w:lang w:eastAsia="zh-CN"/>
              </w:rPr>
              <w:t>有限公司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>订单编号：202005145005ABB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供应产品：定子铁芯、转子冲片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>订单日期：2020年5月14日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>订单内容：名称、型号、图号、高度、材质、交货日期等。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>2、顾客：南通通达矽钢冲压科技有限公司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供应产品：定子铁芯（规格：φ120-φ210）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>订单日期：2020年1月9日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>订单内容：名称、型号、图号、高度、材质、交货日期、生产数量等。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>3、顾客：南通通达矽钢冲压科技有限公司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供应产品：定子铁芯（规格：φ120-φ210）、转子铁芯（规格：φ80-φ160）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>订单日期：2020年4月10日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</w:rPr>
              <w:t>订单内容：名称、型号、图号、高度、材质、交货日期、生产数量等。</w:t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负责人讲现在公司主要顾客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只有一家，顾客比较固定且合作较久，相互信任度较高，有产品需求时以邮件或传真的形式发产品订单，订单经评审后，经负责人签字确认再回传客户。</w:t>
            </w:r>
          </w:p>
          <w:p>
            <w:pPr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基本符合标准要求。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与产品和服务有关要求的确定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Q：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8.2.2</w:t>
            </w:r>
          </w:p>
        </w:tc>
        <w:tc>
          <w:tcPr>
            <w:tcW w:w="10004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组织编制的质量手册及《顾客满意度监视和测量控制程序》规定，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介绍公司产品，了解顾客对产品的要求，并结合标准要求进行确定，且明示在合同或订单上，确定顾客对产品的具体要求。</w:t>
            </w:r>
          </w:p>
          <w:p>
            <w:pPr>
              <w:widowControl/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抽产品供货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订单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：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顾客：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南通通达</w:t>
            </w:r>
            <w:r>
              <w:rPr>
                <w:rFonts w:hint="eastAsia" w:ascii="宋体" w:hAnsi="宋体"/>
                <w:szCs w:val="24"/>
              </w:rPr>
              <w:t>矽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钢冲压科技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有限公司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firstLine="210" w:firstLineChars="100"/>
              <w:jc w:val="left"/>
              <w:rPr>
                <w:rFonts w:hint="default" w:ascii="宋体" w:hAnsi="宋体" w:eastAsia="宋体" w:cs="宋体"/>
                <w:bCs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订单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编号：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2020070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25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 xml:space="preserve">   供应产品：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定子、转子铁芯</w:t>
            </w:r>
          </w:p>
          <w:p>
            <w:pPr>
              <w:widowControl/>
              <w:spacing w:line="360" w:lineRule="auto"/>
              <w:ind w:firstLine="315" w:firstLineChars="15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订单日期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：20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日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订单内容：工作令号   存货编码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名称  规格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型号、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单位 、数量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价格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交货日期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等。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bCs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订单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编号：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2020070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20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 xml:space="preserve">   供应产品：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定子压圈、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转子、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定子铁心</w:t>
            </w:r>
          </w:p>
          <w:p>
            <w:pPr>
              <w:widowControl/>
              <w:spacing w:line="360" w:lineRule="auto"/>
              <w:ind w:firstLine="315" w:firstLineChars="15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订单日期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：20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日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订单内容：工作令号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型号、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数量、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产品价格、包装、质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量要求、验收交付、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交货日期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等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见下图。</w:t>
            </w:r>
          </w:p>
          <w:p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-334645</wp:posOffset>
                  </wp:positionV>
                  <wp:extent cx="1435100" cy="2122805"/>
                  <wp:effectExtent l="0" t="0" r="10795" b="0"/>
                  <wp:wrapNone/>
                  <wp:docPr id="3" name="图片 3" descr="扫描全能王 2020-07-05 06.15.00_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扫描全能王 2020-07-05 06.15.00_3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435100" cy="2122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3000375</wp:posOffset>
                  </wp:positionH>
                  <wp:positionV relativeFrom="paragraph">
                    <wp:posOffset>-276225</wp:posOffset>
                  </wp:positionV>
                  <wp:extent cx="1344930" cy="1935480"/>
                  <wp:effectExtent l="0" t="0" r="7620" b="1270"/>
                  <wp:wrapNone/>
                  <wp:docPr id="4" name="图片 4" descr="扫描全能王 2020-07-05 06.15.00_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扫描全能王 2020-07-05 06.15.00_3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344930" cy="1935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2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3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3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3926205</wp:posOffset>
                  </wp:positionH>
                  <wp:positionV relativeFrom="paragraph">
                    <wp:posOffset>-756285</wp:posOffset>
                  </wp:positionV>
                  <wp:extent cx="1306195" cy="3128010"/>
                  <wp:effectExtent l="0" t="0" r="8890" b="1905"/>
                  <wp:wrapNone/>
                  <wp:docPr id="6" name="图片 6" descr="扫描全能王 2020-07-05 06.15.00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扫描全能王 2020-07-05 06.15.00_3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51027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306195" cy="312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958215</wp:posOffset>
                  </wp:positionH>
                  <wp:positionV relativeFrom="paragraph">
                    <wp:posOffset>-863600</wp:posOffset>
                  </wp:positionV>
                  <wp:extent cx="1407795" cy="3255645"/>
                  <wp:effectExtent l="0" t="0" r="8255" b="1905"/>
                  <wp:wrapNone/>
                  <wp:docPr id="5" name="图片 5" descr="扫描全能王 2020-07-05 06.15.00_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扫描全能王 2020-07-05 06.15.00_3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407795" cy="3255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3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3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3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3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3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3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pStyle w:val="3"/>
              <w:ind w:left="0" w:leftChars="0" w:firstLine="0" w:firstLineChars="0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负责人讲现在公司主要顾客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只有一家，顾客比较固定且合作较久，相互信任度较高，有产品需求时以邮件或传真的形式发产品订单。</w:t>
            </w:r>
          </w:p>
          <w:p>
            <w:pPr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基本符合标准要求。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与产品和服务有关要求的评审</w:t>
            </w:r>
          </w:p>
          <w:p>
            <w:pPr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Q：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8.2.3</w:t>
            </w:r>
          </w:p>
        </w:tc>
        <w:tc>
          <w:tcPr>
            <w:tcW w:w="10004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为了明确与产品有关的要求，确保公司有能力满足顾客要求；组织编制了《生产和服务提供控制程序》规定：在公司向顾客做出提供产品的承诺之前对产品有关要求进行了评审。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抽查:20</w:t>
            </w: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与南通通达矽钢冲压科技有限公司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签订《合作协议》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长期供货。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月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日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接南通通达砂钢冲压科技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有限公司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工作令，经电话评审，设备、原材料、进度满足要求，接受工作令，通知生产技术部，按进度生产、供货。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产品和服务要求的更改策划</w:t>
            </w: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Q：8.2.4</w:t>
            </w:r>
          </w:p>
        </w:tc>
        <w:tc>
          <w:tcPr>
            <w:tcW w:w="10004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负责人讲：20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至今，没有发生合同更改的情况，如果需要更改，需对更改内容重新评审。并将变化的要求及时通知有关人员。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216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外部提供的控制</w:t>
            </w: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Q：8.4</w:t>
            </w:r>
          </w:p>
        </w:tc>
        <w:tc>
          <w:tcPr>
            <w:tcW w:w="10004" w:type="dxa"/>
            <w:vAlign w:val="center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公司策划了《外部提供的过程、产品和服务控制程序》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明确采购物料、设备等，并明确外部提供的过程、产品和服务构成组织自身的产品和服务的一部分。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---公司基于外部供方提供所要求的过程、产品或服务的能力，确定外部供方的评价、选择、绩效监视以及再评价的准则，并加以实施。详见《外部提供的过程、产品和服务控制程序》</w:t>
            </w:r>
          </w:p>
          <w:p>
            <w:pPr>
              <w:widowControl/>
              <w:spacing w:line="360" w:lineRule="auto"/>
              <w:ind w:firstLine="315" w:firstLineChars="150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负责人讲，公司的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val="en-US" w:eastAsia="zh-CN"/>
              </w:rPr>
              <w:t>生产用的材料由南通通达砂钢冲压科技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有限公司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val="en-US" w:eastAsia="zh-CN"/>
              </w:rPr>
              <w:t>统一采购，公司用工作令直接领用，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外部供方主要为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val="en-US" w:eastAsia="zh-CN"/>
              </w:rPr>
              <w:t>辅料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的供应商。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顾客满意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Q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9.1.2</w:t>
            </w:r>
          </w:p>
        </w:tc>
        <w:tc>
          <w:tcPr>
            <w:tcW w:w="10004" w:type="dxa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提供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20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月的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南通通达</w:t>
            </w:r>
            <w:r>
              <w:rPr>
                <w:rFonts w:hint="eastAsia" w:ascii="宋体" w:hAnsi="宋体"/>
                <w:szCs w:val="24"/>
                <w:highlight w:val="none"/>
              </w:rPr>
              <w:t>矽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钢冲压科技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有限公司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对本公司满意度评价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：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--调查内容包括：服务质量、价格、交付及时性、后续服务等.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公司负责人讲：通过本次对顾客进行满意度调查，从统计结果可以看出，顾客对公司的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评价得分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97分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F7964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各项满意度评价均表示满意，对客户期望的交付及时性还需改进，公司准备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增加设备投入，提供效率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公司现目前没有发生客户流失的现象。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新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新宋体"/>
                <w:sz w:val="21"/>
                <w:szCs w:val="21"/>
              </w:rPr>
              <w:t>危险源识别、评价与控制措施</w:t>
            </w:r>
          </w:p>
        </w:tc>
        <w:tc>
          <w:tcPr>
            <w:tcW w:w="960" w:type="dxa"/>
            <w:vAlign w:val="top"/>
          </w:tcPr>
          <w:p>
            <w:pPr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新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新宋体"/>
                <w:sz w:val="21"/>
                <w:szCs w:val="21"/>
              </w:rPr>
              <w:t>S</w:t>
            </w:r>
            <w:r>
              <w:rPr>
                <w:rFonts w:hint="eastAsia" w:ascii="宋体" w:hAnsi="宋体" w:cs="新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新宋体"/>
                <w:sz w:val="21"/>
                <w:szCs w:val="21"/>
              </w:rPr>
              <w:t xml:space="preserve">4.3.1 </w:t>
            </w:r>
          </w:p>
        </w:tc>
        <w:tc>
          <w:tcPr>
            <w:tcW w:w="10004" w:type="dxa"/>
            <w:vAlign w:val="top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cs="宋体"/>
                <w:sz w:val="21"/>
                <w:szCs w:val="21"/>
                <w:highlight w:val="none"/>
                <w:lang w:bidi="ar"/>
              </w:rPr>
              <w:t>查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 w:bidi="ar"/>
              </w:rPr>
              <w:t>市场部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经过辨识与评审形成了《危险源辨识评价表》共识别出：包括办公用品辐射导致职业病、照明线路损坏老化漏电伤人、人员出差导致意外事故等12项危险源。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经打分法确定重大风险为：不可接受风险公事外出发生交通事故。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危险源辨识基本充分、风险等级评价基本合理。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查，潜在火灾风险控制措施为： 消防逃生通道的设立；消防设备的配备及定期检查；消防应急预案的制订及演练。</w:t>
            </w:r>
          </w:p>
          <w:p>
            <w:pPr>
              <w:spacing w:line="400" w:lineRule="exac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bidi="ar"/>
              </w:rPr>
              <w:t>危险源识别基本充分，控制措施需要完善。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ind w:firstLine="210" w:firstLineChars="10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新宋体"/>
                <w:sz w:val="21"/>
                <w:szCs w:val="21"/>
              </w:rPr>
              <w:t>运行控制</w:t>
            </w:r>
          </w:p>
        </w:tc>
        <w:tc>
          <w:tcPr>
            <w:tcW w:w="960" w:type="dxa"/>
            <w:vAlign w:val="top"/>
          </w:tcPr>
          <w:p>
            <w:pPr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新宋体"/>
                <w:sz w:val="21"/>
                <w:szCs w:val="21"/>
              </w:rPr>
              <w:t>S4.4.6</w:t>
            </w:r>
          </w:p>
        </w:tc>
        <w:tc>
          <w:tcPr>
            <w:tcW w:w="10004" w:type="dxa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查，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市场部</w:t>
            </w:r>
            <w:r>
              <w:rPr>
                <w:rFonts w:hint="eastAsia" w:ascii="宋体" w:hAnsi="宋体" w:cs="宋体"/>
                <w:sz w:val="21"/>
                <w:szCs w:val="21"/>
              </w:rPr>
              <w:t>职业健康安全管理制度：运行控制程序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</w:rPr>
              <w:t>消防安全管理制度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</w:rPr>
              <w:t>用电安全管理规定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</w:rPr>
              <w:t>公司劳动安全管理办法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</w:rPr>
              <w:t>火灾事故应急救援预案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</w:rPr>
              <w:t>劳动防护用品管理制度等。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查不可接受风险源：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1）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bidi="ar"/>
              </w:rPr>
              <w:t>公事外出发生交通事故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查看，公司制订的相应的安全管理制度及管理方案，对不可接受风险源进行管控。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据称：对火灾应急设施、安防设施运行情况等进行了检查维护。如：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查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市场部</w:t>
            </w:r>
            <w:r>
              <w:rPr>
                <w:rFonts w:hint="eastAsia" w:ascii="宋体" w:hAnsi="宋体" w:cs="宋体"/>
                <w:sz w:val="21"/>
                <w:szCs w:val="21"/>
              </w:rPr>
              <w:t>办公区域安全实施情况；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现场查看：现场未发现大功率电器使用。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现场查看：有禁止吸烟的提醒，现场查看：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市场部</w:t>
            </w:r>
            <w:r>
              <w:rPr>
                <w:rFonts w:hint="eastAsia" w:ascii="宋体" w:hAnsi="宋体" w:cs="宋体"/>
                <w:sz w:val="21"/>
                <w:szCs w:val="21"/>
              </w:rPr>
              <w:t>办公区域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灭火器</w:t>
            </w:r>
            <w:r>
              <w:rPr>
                <w:rFonts w:hint="eastAsia" w:ascii="宋体" w:hAnsi="宋体" w:cs="宋体"/>
                <w:sz w:val="21"/>
                <w:szCs w:val="21"/>
              </w:rPr>
              <w:t>、设施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完好，有</w:t>
            </w:r>
            <w:r>
              <w:rPr>
                <w:rFonts w:hint="eastAsia" w:ascii="宋体" w:hAnsi="宋体" w:cs="宋体"/>
                <w:sz w:val="21"/>
                <w:szCs w:val="21"/>
              </w:rPr>
              <w:t>检查记录，检查结果符合规定要求。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 w:cs="新宋体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新宋体"/>
                <w:sz w:val="21"/>
                <w:szCs w:val="21"/>
              </w:rPr>
              <w:t>应急准备和响应</w:t>
            </w:r>
          </w:p>
        </w:tc>
        <w:tc>
          <w:tcPr>
            <w:tcW w:w="960" w:type="dxa"/>
            <w:vAlign w:val="top"/>
          </w:tcPr>
          <w:p>
            <w:pPr>
              <w:spacing w:line="360" w:lineRule="auto"/>
              <w:ind w:firstLine="315" w:firstLineChars="150"/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</w:pPr>
          </w:p>
          <w:p>
            <w:pPr>
              <w:spacing w:line="360" w:lineRule="auto"/>
              <w:ind w:firstLine="315" w:firstLineChars="150"/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S4.4.7</w:t>
            </w:r>
          </w:p>
        </w:tc>
        <w:tc>
          <w:tcPr>
            <w:tcW w:w="10004" w:type="dxa"/>
            <w:vAlign w:val="top"/>
          </w:tcPr>
          <w:p>
            <w:pPr>
              <w:spacing w:line="360" w:lineRule="auto"/>
              <w:ind w:firstLine="315" w:firstLineChars="150"/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查见：《应急准备和响应控制程序》、《消防火灾应急疏散预案》、《消防火灾应急活动》。</w:t>
            </w:r>
          </w:p>
          <w:p>
            <w:pPr>
              <w:spacing w:line="360" w:lineRule="auto"/>
              <w:ind w:firstLine="315" w:firstLineChars="150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cs="Times New Roman"/>
                <w:szCs w:val="22"/>
                <w:lang w:eastAsia="zh-CN"/>
              </w:rPr>
              <w:t>市场部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工作人员的在综合部组织下，参加了公司组织的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灭火器的使用培训和操作。</w:t>
            </w:r>
          </w:p>
          <w:p>
            <w:pPr>
              <w:spacing w:line="360" w:lineRule="auto"/>
              <w:ind w:firstLine="315" w:firstLineChars="150"/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通过本次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培训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使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员工锻炼了应急机动的能力，同时完善了公司管理制度，提高了公司安全防火和应急的实战技能。同时使员工掌握了灭火器材的使用。消防器材完善、良好。</w:t>
            </w:r>
          </w:p>
          <w:p>
            <w:pPr>
              <w:spacing w:line="360" w:lineRule="auto"/>
              <w:ind w:firstLine="315" w:firstLineChars="150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部门未发生过应急事件</w:t>
            </w:r>
          </w:p>
        </w:tc>
        <w:tc>
          <w:tcPr>
            <w:tcW w:w="1585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/>
    <w:p>
      <w:pPr>
        <w:pStyle w:val="7"/>
      </w:pPr>
      <w:r>
        <w:rPr>
          <w:rFonts w:hint="eastAsia"/>
        </w:rPr>
        <w:t>说明：不符合标注N</w:t>
      </w: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8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4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4"/>
        <w:rFonts w:hint="default"/>
      </w:rPr>
      <w:t>北京国标联合认证有限公司</w:t>
    </w:r>
    <w:r>
      <w:rPr>
        <w:rStyle w:val="14"/>
        <w:rFonts w:hint="default"/>
      </w:rPr>
      <w:tab/>
    </w:r>
    <w:r>
      <w:rPr>
        <w:rStyle w:val="14"/>
        <w:rFonts w:hint="default"/>
      </w:rPr>
      <w:tab/>
    </w:r>
    <w:r>
      <w:rPr>
        <w:rStyle w:val="14"/>
        <w:rFonts w:hint="default"/>
      </w:rPr>
      <w:tab/>
    </w:r>
  </w:p>
  <w:p>
    <w:pPr>
      <w:pStyle w:val="8"/>
      <w:pBdr>
        <w:bottom w:val="none" w:color="auto" w:sz="0" w:space="1"/>
      </w:pBdr>
      <w:spacing w:line="320" w:lineRule="exact"/>
      <w:jc w:val="left"/>
    </w:pPr>
    <w:r>
      <w:pict>
        <v:shape id="文本框 1" o:spid="_x0000_s4097" o:spt="202" type="#_x0000_t202" style="position:absolute;left:0pt;margin-left:554.75pt;margin-top:2.2pt;height:20.2pt;width:172pt;z-index:251661312;mso-width-relative:page;mso-height-relative:page;" stroked="f" coordsize="21600,21600" o:gfxdata="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DVqXNcA&#10;AAAJAQAADwAAAAAAAAABACAAAAAiAAAAZHJzL2Rvd25yZXYueG1sUEsBAhQAFAAAAAgAh07iQEPN&#10;lhyuAQAAMgMAAA4AAAAAAAAAAQAgAAAAJgEAAGRycy9lMm9Eb2MueG1sUEsFBgAAAAAGAAYAWQEA&#10;AEYFAAAAAA==&#10;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ISC-B-II-10 管理体系审核记录表(03版)</w:t>
                </w:r>
              </w:p>
            </w:txbxContent>
          </v:textbox>
        </v:shape>
      </w:pict>
    </w:r>
    <w:r>
      <w:rPr>
        <w:rStyle w:val="14"/>
        <w:rFonts w:hint="default"/>
      </w:rPr>
      <w:t xml:space="preserve">        </w:t>
    </w:r>
    <w:r>
      <w:rPr>
        <w:rStyle w:val="14"/>
        <w:rFonts w:hint="default"/>
        <w:w w:val="90"/>
      </w:rPr>
      <w:t>Beijing International Standard united Certification Co.,Ltd.</w:t>
    </w:r>
    <w:r>
      <w:rPr>
        <w:rStyle w:val="14"/>
        <w:rFonts w:hint="default"/>
        <w:w w:val="90"/>
        <w:szCs w:val="21"/>
      </w:rPr>
      <w:t xml:space="preserve">  </w:t>
    </w:r>
    <w:r>
      <w:rPr>
        <w:rStyle w:val="14"/>
        <w:rFonts w:hint="default"/>
        <w:w w:val="90"/>
        <w:sz w:val="20"/>
      </w:rPr>
      <w:t xml:space="preserve"> </w:t>
    </w:r>
    <w:r>
      <w:rPr>
        <w:rStyle w:val="14"/>
        <w:rFonts w:hint="default"/>
        <w:w w:val="90"/>
      </w:rPr>
      <w:t xml:space="preserve">                   </w:t>
    </w:r>
  </w:p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33466"/>
    <w:multiLevelType w:val="singleLevel"/>
    <w:tmpl w:val="5703346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73B4"/>
    <w:rsid w:val="00001E95"/>
    <w:rsid w:val="00032A72"/>
    <w:rsid w:val="0003373A"/>
    <w:rsid w:val="00047AAF"/>
    <w:rsid w:val="000727B1"/>
    <w:rsid w:val="00084AFA"/>
    <w:rsid w:val="00085E28"/>
    <w:rsid w:val="000920E7"/>
    <w:rsid w:val="000944CD"/>
    <w:rsid w:val="000A1249"/>
    <w:rsid w:val="000A390A"/>
    <w:rsid w:val="000B0A7D"/>
    <w:rsid w:val="000C2862"/>
    <w:rsid w:val="000F1E5D"/>
    <w:rsid w:val="000F3A16"/>
    <w:rsid w:val="000F5DD5"/>
    <w:rsid w:val="00102A1B"/>
    <w:rsid w:val="00141F69"/>
    <w:rsid w:val="00147791"/>
    <w:rsid w:val="001604F7"/>
    <w:rsid w:val="001973D3"/>
    <w:rsid w:val="001A144D"/>
    <w:rsid w:val="001A2D7F"/>
    <w:rsid w:val="001B1E82"/>
    <w:rsid w:val="001C0D08"/>
    <w:rsid w:val="001C1470"/>
    <w:rsid w:val="001C1CA8"/>
    <w:rsid w:val="001D5E77"/>
    <w:rsid w:val="001F4540"/>
    <w:rsid w:val="002133AF"/>
    <w:rsid w:val="00223BA4"/>
    <w:rsid w:val="00242DBB"/>
    <w:rsid w:val="00243882"/>
    <w:rsid w:val="00245A4F"/>
    <w:rsid w:val="00253958"/>
    <w:rsid w:val="00280857"/>
    <w:rsid w:val="00282310"/>
    <w:rsid w:val="002C47AE"/>
    <w:rsid w:val="002C6B30"/>
    <w:rsid w:val="002D2E7C"/>
    <w:rsid w:val="002D78D7"/>
    <w:rsid w:val="002F6B8C"/>
    <w:rsid w:val="00321167"/>
    <w:rsid w:val="00322A4F"/>
    <w:rsid w:val="00332C66"/>
    <w:rsid w:val="00337922"/>
    <w:rsid w:val="003403D4"/>
    <w:rsid w:val="00340867"/>
    <w:rsid w:val="00340B9B"/>
    <w:rsid w:val="003468E2"/>
    <w:rsid w:val="00356111"/>
    <w:rsid w:val="00362C50"/>
    <w:rsid w:val="003706AE"/>
    <w:rsid w:val="0037354F"/>
    <w:rsid w:val="00380837"/>
    <w:rsid w:val="00397223"/>
    <w:rsid w:val="003A7951"/>
    <w:rsid w:val="003C3052"/>
    <w:rsid w:val="003D56C6"/>
    <w:rsid w:val="003F2015"/>
    <w:rsid w:val="003F42F4"/>
    <w:rsid w:val="003F494F"/>
    <w:rsid w:val="00407AE2"/>
    <w:rsid w:val="00410914"/>
    <w:rsid w:val="004109AD"/>
    <w:rsid w:val="0042626A"/>
    <w:rsid w:val="004273E5"/>
    <w:rsid w:val="00450C08"/>
    <w:rsid w:val="00452263"/>
    <w:rsid w:val="00463AF9"/>
    <w:rsid w:val="00480D43"/>
    <w:rsid w:val="004850D2"/>
    <w:rsid w:val="0049703D"/>
    <w:rsid w:val="004A4286"/>
    <w:rsid w:val="004B554B"/>
    <w:rsid w:val="004F2AF2"/>
    <w:rsid w:val="0050567D"/>
    <w:rsid w:val="00507BDF"/>
    <w:rsid w:val="00511B75"/>
    <w:rsid w:val="0052085D"/>
    <w:rsid w:val="00526592"/>
    <w:rsid w:val="00536930"/>
    <w:rsid w:val="005537A3"/>
    <w:rsid w:val="00561442"/>
    <w:rsid w:val="00564E53"/>
    <w:rsid w:val="00567BA6"/>
    <w:rsid w:val="005748AF"/>
    <w:rsid w:val="00575289"/>
    <w:rsid w:val="005830C0"/>
    <w:rsid w:val="00583277"/>
    <w:rsid w:val="005A0BCF"/>
    <w:rsid w:val="005C4113"/>
    <w:rsid w:val="005D4BE3"/>
    <w:rsid w:val="005E1775"/>
    <w:rsid w:val="005F3EA4"/>
    <w:rsid w:val="006024F1"/>
    <w:rsid w:val="00606E28"/>
    <w:rsid w:val="0061673E"/>
    <w:rsid w:val="006172E6"/>
    <w:rsid w:val="006302B4"/>
    <w:rsid w:val="006373D8"/>
    <w:rsid w:val="00644FE2"/>
    <w:rsid w:val="006611F6"/>
    <w:rsid w:val="0067476C"/>
    <w:rsid w:val="0067640C"/>
    <w:rsid w:val="006901CD"/>
    <w:rsid w:val="00691642"/>
    <w:rsid w:val="006926AA"/>
    <w:rsid w:val="006946B9"/>
    <w:rsid w:val="00694F81"/>
    <w:rsid w:val="00695256"/>
    <w:rsid w:val="006A16FB"/>
    <w:rsid w:val="006A2318"/>
    <w:rsid w:val="006B6C59"/>
    <w:rsid w:val="006B7D04"/>
    <w:rsid w:val="006E30F4"/>
    <w:rsid w:val="006E678B"/>
    <w:rsid w:val="006F390D"/>
    <w:rsid w:val="006F5918"/>
    <w:rsid w:val="00706065"/>
    <w:rsid w:val="007137E3"/>
    <w:rsid w:val="0071742A"/>
    <w:rsid w:val="00723B0E"/>
    <w:rsid w:val="0072575C"/>
    <w:rsid w:val="00727E98"/>
    <w:rsid w:val="0073687E"/>
    <w:rsid w:val="0074376C"/>
    <w:rsid w:val="00744B02"/>
    <w:rsid w:val="00765A1B"/>
    <w:rsid w:val="007757F3"/>
    <w:rsid w:val="007814AB"/>
    <w:rsid w:val="007868DC"/>
    <w:rsid w:val="00790381"/>
    <w:rsid w:val="00790B34"/>
    <w:rsid w:val="007976C5"/>
    <w:rsid w:val="007B5463"/>
    <w:rsid w:val="007C26BC"/>
    <w:rsid w:val="007C3BCE"/>
    <w:rsid w:val="007E036C"/>
    <w:rsid w:val="007E6AEB"/>
    <w:rsid w:val="007F0B0C"/>
    <w:rsid w:val="00801FFB"/>
    <w:rsid w:val="0080239D"/>
    <w:rsid w:val="008102A5"/>
    <w:rsid w:val="00812B35"/>
    <w:rsid w:val="00826648"/>
    <w:rsid w:val="00864A32"/>
    <w:rsid w:val="008668B3"/>
    <w:rsid w:val="00874CBD"/>
    <w:rsid w:val="0088069D"/>
    <w:rsid w:val="00885E0F"/>
    <w:rsid w:val="0089001A"/>
    <w:rsid w:val="008973EE"/>
    <w:rsid w:val="008A7726"/>
    <w:rsid w:val="008D3946"/>
    <w:rsid w:val="008E0DB3"/>
    <w:rsid w:val="008E2531"/>
    <w:rsid w:val="008F06B3"/>
    <w:rsid w:val="008F0FD7"/>
    <w:rsid w:val="008F5FBD"/>
    <w:rsid w:val="00901436"/>
    <w:rsid w:val="0091176A"/>
    <w:rsid w:val="0091791C"/>
    <w:rsid w:val="00941F52"/>
    <w:rsid w:val="00943E40"/>
    <w:rsid w:val="009449B9"/>
    <w:rsid w:val="009462AD"/>
    <w:rsid w:val="00947067"/>
    <w:rsid w:val="00961D5B"/>
    <w:rsid w:val="00971600"/>
    <w:rsid w:val="00995CA6"/>
    <w:rsid w:val="009973B4"/>
    <w:rsid w:val="009A7172"/>
    <w:rsid w:val="009B40B9"/>
    <w:rsid w:val="009C0423"/>
    <w:rsid w:val="009D3E1E"/>
    <w:rsid w:val="009E060E"/>
    <w:rsid w:val="009E17E1"/>
    <w:rsid w:val="009E73E2"/>
    <w:rsid w:val="009F3A73"/>
    <w:rsid w:val="009F55F5"/>
    <w:rsid w:val="009F7EED"/>
    <w:rsid w:val="00A11949"/>
    <w:rsid w:val="00A14992"/>
    <w:rsid w:val="00A26063"/>
    <w:rsid w:val="00A377A1"/>
    <w:rsid w:val="00A411FD"/>
    <w:rsid w:val="00A66FEF"/>
    <w:rsid w:val="00A67098"/>
    <w:rsid w:val="00A87FDB"/>
    <w:rsid w:val="00AB69B9"/>
    <w:rsid w:val="00AC2F80"/>
    <w:rsid w:val="00AE2FB7"/>
    <w:rsid w:val="00AE31B0"/>
    <w:rsid w:val="00AF0AAB"/>
    <w:rsid w:val="00AF1675"/>
    <w:rsid w:val="00AF7268"/>
    <w:rsid w:val="00B14BCC"/>
    <w:rsid w:val="00B15747"/>
    <w:rsid w:val="00B209B2"/>
    <w:rsid w:val="00B2785D"/>
    <w:rsid w:val="00B46D09"/>
    <w:rsid w:val="00B71106"/>
    <w:rsid w:val="00B80995"/>
    <w:rsid w:val="00B96A3A"/>
    <w:rsid w:val="00B971F3"/>
    <w:rsid w:val="00BA5C1D"/>
    <w:rsid w:val="00BB3F29"/>
    <w:rsid w:val="00BC149F"/>
    <w:rsid w:val="00BC7FBA"/>
    <w:rsid w:val="00BE2E40"/>
    <w:rsid w:val="00BF597E"/>
    <w:rsid w:val="00C01389"/>
    <w:rsid w:val="00C04E94"/>
    <w:rsid w:val="00C24854"/>
    <w:rsid w:val="00C35CBA"/>
    <w:rsid w:val="00C378AA"/>
    <w:rsid w:val="00C37FB9"/>
    <w:rsid w:val="00C51A36"/>
    <w:rsid w:val="00C55228"/>
    <w:rsid w:val="00C66B45"/>
    <w:rsid w:val="00C67434"/>
    <w:rsid w:val="00C7541C"/>
    <w:rsid w:val="00C85392"/>
    <w:rsid w:val="00C861D0"/>
    <w:rsid w:val="00CA6346"/>
    <w:rsid w:val="00CC54E3"/>
    <w:rsid w:val="00CE315A"/>
    <w:rsid w:val="00CE49EB"/>
    <w:rsid w:val="00CF0F5A"/>
    <w:rsid w:val="00CF431E"/>
    <w:rsid w:val="00D0019C"/>
    <w:rsid w:val="00D0363B"/>
    <w:rsid w:val="00D0464D"/>
    <w:rsid w:val="00D061C9"/>
    <w:rsid w:val="00D06F59"/>
    <w:rsid w:val="00D12221"/>
    <w:rsid w:val="00D12E96"/>
    <w:rsid w:val="00D317A8"/>
    <w:rsid w:val="00D36D97"/>
    <w:rsid w:val="00D51D07"/>
    <w:rsid w:val="00D53E88"/>
    <w:rsid w:val="00D74661"/>
    <w:rsid w:val="00D76F42"/>
    <w:rsid w:val="00D80ECA"/>
    <w:rsid w:val="00D8388C"/>
    <w:rsid w:val="00D92902"/>
    <w:rsid w:val="00DB2CD2"/>
    <w:rsid w:val="00DB2E75"/>
    <w:rsid w:val="00DC229F"/>
    <w:rsid w:val="00DF05F0"/>
    <w:rsid w:val="00E06D53"/>
    <w:rsid w:val="00E13028"/>
    <w:rsid w:val="00E157F3"/>
    <w:rsid w:val="00E25BDD"/>
    <w:rsid w:val="00E413AC"/>
    <w:rsid w:val="00E62A2C"/>
    <w:rsid w:val="00E70F0E"/>
    <w:rsid w:val="00E8374D"/>
    <w:rsid w:val="00E9004E"/>
    <w:rsid w:val="00E9637F"/>
    <w:rsid w:val="00EA6B1F"/>
    <w:rsid w:val="00EB0164"/>
    <w:rsid w:val="00EB781E"/>
    <w:rsid w:val="00EC2E60"/>
    <w:rsid w:val="00ED0F62"/>
    <w:rsid w:val="00ED2AEE"/>
    <w:rsid w:val="00ED4FA5"/>
    <w:rsid w:val="00EE0935"/>
    <w:rsid w:val="00F01694"/>
    <w:rsid w:val="00F42184"/>
    <w:rsid w:val="00F471B2"/>
    <w:rsid w:val="00F552E0"/>
    <w:rsid w:val="00F64E00"/>
    <w:rsid w:val="00F65801"/>
    <w:rsid w:val="00F76B07"/>
    <w:rsid w:val="00F86C95"/>
    <w:rsid w:val="00FA0833"/>
    <w:rsid w:val="00FA3F50"/>
    <w:rsid w:val="00FA44CB"/>
    <w:rsid w:val="00FB0661"/>
    <w:rsid w:val="00FC338A"/>
    <w:rsid w:val="00FE0F91"/>
    <w:rsid w:val="0B5A388C"/>
    <w:rsid w:val="108219C2"/>
    <w:rsid w:val="1B9322EA"/>
    <w:rsid w:val="37427192"/>
    <w:rsid w:val="3D7E5E0A"/>
    <w:rsid w:val="4B1F3E1F"/>
    <w:rsid w:val="5EA12B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link w:val="1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60" w:lineRule="atLeast"/>
      <w:ind w:left="480"/>
      <w:textAlignment w:val="baseline"/>
    </w:pPr>
    <w:rPr>
      <w:kern w:val="0"/>
    </w:rPr>
  </w:style>
  <w:style w:type="paragraph" w:styleId="4">
    <w:name w:val="Body Text Indent"/>
    <w:basedOn w:val="1"/>
    <w:link w:val="15"/>
    <w:unhideWhenUsed/>
    <w:qFormat/>
    <w:uiPriority w:val="0"/>
    <w:pPr>
      <w:ind w:firstLine="525" w:firstLineChars="210"/>
    </w:pPr>
    <w:rPr>
      <w:spacing w:val="20"/>
      <w:szCs w:val="24"/>
    </w:rPr>
  </w:style>
  <w:style w:type="paragraph" w:styleId="5">
    <w:name w:val="Plain Text"/>
    <w:basedOn w:val="1"/>
    <w:link w:val="16"/>
    <w:qFormat/>
    <w:uiPriority w:val="0"/>
    <w:rPr>
      <w:rFonts w:ascii="宋体" w:hAnsi="Courier New"/>
      <w:sz w:val="24"/>
    </w:rPr>
  </w:style>
  <w:style w:type="paragraph" w:styleId="6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10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basedOn w:val="10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5">
    <w:name w:val="正文文本缩进 Char"/>
    <w:basedOn w:val="10"/>
    <w:link w:val="4"/>
    <w:qFormat/>
    <w:uiPriority w:val="0"/>
    <w:rPr>
      <w:rFonts w:ascii="Times New Roman" w:hAnsi="Times New Roman" w:eastAsia="宋体" w:cs="Times New Roman"/>
      <w:spacing w:val="20"/>
      <w:kern w:val="2"/>
      <w:sz w:val="21"/>
      <w:szCs w:val="24"/>
    </w:rPr>
  </w:style>
  <w:style w:type="character" w:customStyle="1" w:styleId="16">
    <w:name w:val="纯文本 Char"/>
    <w:basedOn w:val="10"/>
    <w:link w:val="5"/>
    <w:qFormat/>
    <w:uiPriority w:val="0"/>
    <w:rPr>
      <w:rFonts w:ascii="宋体" w:hAnsi="Courier New" w:eastAsia="宋体" w:cs="Times New Roman"/>
      <w:kern w:val="2"/>
      <w:sz w:val="24"/>
    </w:rPr>
  </w:style>
  <w:style w:type="paragraph" w:customStyle="1" w:styleId="17">
    <w:name w:val="_Style 2"/>
    <w:basedOn w:val="1"/>
    <w:qFormat/>
    <w:uiPriority w:val="34"/>
    <w:pPr>
      <w:widowControl/>
      <w:ind w:firstLine="420" w:firstLineChars="200"/>
      <w:jc w:val="left"/>
    </w:pPr>
    <w:rPr>
      <w:kern w:val="0"/>
      <w:sz w:val="20"/>
      <w:lang w:eastAsia="en-US"/>
    </w:rPr>
  </w:style>
  <w:style w:type="paragraph" w:customStyle="1" w:styleId="18">
    <w:name w:val="东方正文"/>
    <w:basedOn w:val="1"/>
    <w:qFormat/>
    <w:uiPriority w:val="0"/>
    <w:pPr>
      <w:spacing w:line="400" w:lineRule="exact"/>
      <w:ind w:left="284" w:right="284"/>
    </w:pPr>
    <w:rPr>
      <w:sz w:val="24"/>
    </w:rPr>
  </w:style>
  <w:style w:type="character" w:customStyle="1" w:styleId="19">
    <w:name w:val="标题 2 Char"/>
    <w:basedOn w:val="10"/>
    <w:link w:val="2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641</Words>
  <Characters>3654</Characters>
  <Lines>30</Lines>
  <Paragraphs>8</Paragraphs>
  <TotalTime>3</TotalTime>
  <ScaleCrop>false</ScaleCrop>
  <LinksUpToDate>false</LinksUpToDate>
  <CharactersWithSpaces>4287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LIL</cp:lastModifiedBy>
  <dcterms:modified xsi:type="dcterms:W3CDTF">2020-08-16T23:50:16Z</dcterms:modified>
  <cp:revision>444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